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0D46" w14:textId="77777777" w:rsidR="00C65159" w:rsidRDefault="00000000">
      <w:pPr>
        <w:spacing w:afterLines="50" w:after="156" w:line="360" w:lineRule="auto"/>
        <w:ind w:firstLineChars="200" w:firstLine="562"/>
        <w:jc w:val="center"/>
        <w:rPr>
          <w:rFonts w:ascii="宋体" w:eastAsia="宋体" w:hAnsi="宋体"/>
          <w:sz w:val="28"/>
          <w:szCs w:val="28"/>
        </w:rPr>
      </w:pPr>
      <w:r>
        <w:rPr>
          <w:rFonts w:ascii="宋体" w:eastAsia="宋体" w:hAnsi="宋体" w:hint="eastAsia"/>
          <w:b/>
          <w:bCs/>
          <w:sz w:val="28"/>
          <w:szCs w:val="28"/>
        </w:rPr>
        <w:t>《上海卫生健康政策研究年度报告（2025）》正式出版</w:t>
      </w:r>
    </w:p>
    <w:p w14:paraId="3C901703" w14:textId="7B8F424E" w:rsidR="00C65159"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上海卫生健康政策研究年度报告（2025）》（以下简称“绿皮书”）近日由科学出版社正式出版发行。该书由上海市卫生健康委员会、上海市卫生和健康发展研究中心、上海市医学会联合组编，由上海市卫生和健康发展研究中心负责具体组织编写，定位于打造上海卫生健康政策信息发布的“制高点”、</w:t>
      </w:r>
      <w:proofErr w:type="gramStart"/>
      <w:r>
        <w:rPr>
          <w:rFonts w:ascii="宋体" w:eastAsia="宋体" w:hAnsi="宋体" w:hint="eastAsia"/>
          <w:sz w:val="24"/>
          <w:szCs w:val="24"/>
        </w:rPr>
        <w:t>医改成效</w:t>
      </w:r>
      <w:proofErr w:type="gramEnd"/>
      <w:r>
        <w:rPr>
          <w:rFonts w:ascii="宋体" w:eastAsia="宋体" w:hAnsi="宋体" w:hint="eastAsia"/>
          <w:sz w:val="24"/>
          <w:szCs w:val="24"/>
        </w:rPr>
        <w:t>评价“权威版”和卫生健康政策导向“风向标”。2025年度绿皮书是本系列连续出版的第十四辑。</w:t>
      </w:r>
    </w:p>
    <w:p w14:paraId="7ECFAD18" w14:textId="77777777" w:rsidR="00C65159" w:rsidRDefault="00000000">
      <w:pPr>
        <w:spacing w:line="360" w:lineRule="auto"/>
        <w:ind w:firstLineChars="200" w:firstLine="480"/>
        <w:rPr>
          <w:rFonts w:ascii="宋体" w:eastAsia="宋体" w:hAnsi="宋体"/>
          <w:sz w:val="24"/>
          <w:szCs w:val="24"/>
        </w:rPr>
      </w:pPr>
      <w:r>
        <w:rPr>
          <w:rFonts w:ascii="宋体" w:eastAsia="宋体" w:hAnsi="宋体"/>
          <w:sz w:val="24"/>
          <w:szCs w:val="24"/>
        </w:rPr>
        <w:t>结合上海市卫生健康委员会202</w:t>
      </w:r>
      <w:r>
        <w:rPr>
          <w:rFonts w:ascii="宋体" w:eastAsia="宋体" w:hAnsi="宋体" w:hint="eastAsia"/>
          <w:sz w:val="24"/>
          <w:szCs w:val="24"/>
        </w:rPr>
        <w:t>5</w:t>
      </w:r>
      <w:r>
        <w:rPr>
          <w:rFonts w:ascii="宋体" w:eastAsia="宋体" w:hAnsi="宋体"/>
          <w:sz w:val="24"/>
          <w:szCs w:val="24"/>
        </w:rPr>
        <w:t>年度工作重点和卫生健康政策研究成果，</w:t>
      </w:r>
      <w:r>
        <w:rPr>
          <w:rFonts w:ascii="宋体" w:eastAsia="宋体" w:hAnsi="宋体" w:hint="eastAsia"/>
          <w:sz w:val="24"/>
          <w:szCs w:val="24"/>
        </w:rPr>
        <w:t>2025</w:t>
      </w:r>
      <w:r>
        <w:rPr>
          <w:rFonts w:ascii="宋体" w:eastAsia="宋体" w:hAnsi="宋体"/>
          <w:sz w:val="24"/>
          <w:szCs w:val="24"/>
        </w:rPr>
        <w:t>年度绿皮书共设置</w:t>
      </w:r>
      <w:r>
        <w:rPr>
          <w:rFonts w:ascii="宋体" w:eastAsia="宋体" w:hAnsi="宋体" w:hint="eastAsia"/>
          <w:sz w:val="24"/>
          <w:szCs w:val="24"/>
        </w:rPr>
        <w:t>战略规划、综合</w:t>
      </w:r>
      <w:proofErr w:type="gramStart"/>
      <w:r>
        <w:rPr>
          <w:rFonts w:ascii="宋体" w:eastAsia="宋体" w:hAnsi="宋体" w:hint="eastAsia"/>
          <w:sz w:val="24"/>
          <w:szCs w:val="24"/>
        </w:rPr>
        <w:t>医</w:t>
      </w:r>
      <w:proofErr w:type="gramEnd"/>
      <w:r>
        <w:rPr>
          <w:rFonts w:ascii="宋体" w:eastAsia="宋体" w:hAnsi="宋体" w:hint="eastAsia"/>
          <w:sz w:val="24"/>
          <w:szCs w:val="24"/>
        </w:rPr>
        <w:t>改、</w:t>
      </w:r>
      <w:proofErr w:type="gramStart"/>
      <w:r>
        <w:rPr>
          <w:rFonts w:ascii="宋体" w:eastAsia="宋体" w:hAnsi="宋体" w:hint="eastAsia"/>
          <w:sz w:val="24"/>
          <w:szCs w:val="24"/>
        </w:rPr>
        <w:t>健康数智化</w:t>
      </w:r>
      <w:proofErr w:type="gramEnd"/>
      <w:r>
        <w:rPr>
          <w:rFonts w:ascii="宋体" w:eastAsia="宋体" w:hAnsi="宋体" w:hint="eastAsia"/>
          <w:sz w:val="24"/>
          <w:szCs w:val="24"/>
        </w:rPr>
        <w:t>、医学</w:t>
      </w:r>
      <w:proofErr w:type="gramStart"/>
      <w:r>
        <w:rPr>
          <w:rFonts w:ascii="宋体" w:eastAsia="宋体" w:hAnsi="宋体" w:hint="eastAsia"/>
          <w:sz w:val="24"/>
          <w:szCs w:val="24"/>
        </w:rPr>
        <w:t>科创与</w:t>
      </w:r>
      <w:proofErr w:type="gramEnd"/>
      <w:r>
        <w:rPr>
          <w:rFonts w:ascii="宋体" w:eastAsia="宋体" w:hAnsi="宋体" w:hint="eastAsia"/>
          <w:sz w:val="24"/>
          <w:szCs w:val="24"/>
        </w:rPr>
        <w:t>学科建设、基层卫生、公共卫生、中医药发展、医疗服务与监管、筹资与保障等九大</w:t>
      </w:r>
      <w:proofErr w:type="gramStart"/>
      <w:r>
        <w:rPr>
          <w:rFonts w:ascii="宋体" w:eastAsia="宋体" w:hAnsi="宋体" w:hint="eastAsia"/>
          <w:sz w:val="24"/>
          <w:szCs w:val="24"/>
        </w:rPr>
        <w:t>版块</w:t>
      </w:r>
      <w:proofErr w:type="gramEnd"/>
      <w:r>
        <w:rPr>
          <w:rFonts w:ascii="宋体" w:eastAsia="宋体" w:hAnsi="宋体"/>
          <w:sz w:val="24"/>
          <w:szCs w:val="24"/>
        </w:rPr>
        <w:t>，</w:t>
      </w:r>
      <w:r>
        <w:rPr>
          <w:rFonts w:ascii="宋体" w:eastAsia="宋体" w:hAnsi="宋体" w:hint="eastAsia"/>
          <w:sz w:val="24"/>
          <w:szCs w:val="24"/>
        </w:rPr>
        <w:t>以及</w:t>
      </w:r>
      <w:r>
        <w:rPr>
          <w:rFonts w:ascii="宋体" w:eastAsia="宋体" w:hAnsi="宋体"/>
          <w:sz w:val="24"/>
          <w:szCs w:val="24"/>
        </w:rPr>
        <w:t>《上海市医疗卫生服务年度报告（202</w:t>
      </w:r>
      <w:r>
        <w:rPr>
          <w:rFonts w:ascii="宋体" w:eastAsia="宋体" w:hAnsi="宋体" w:hint="eastAsia"/>
          <w:sz w:val="24"/>
          <w:szCs w:val="24"/>
        </w:rPr>
        <w:t>5</w:t>
      </w:r>
      <w:r>
        <w:rPr>
          <w:rFonts w:ascii="宋体" w:eastAsia="宋体" w:hAnsi="宋体"/>
          <w:sz w:val="24"/>
          <w:szCs w:val="24"/>
        </w:rPr>
        <w:t>年）》《202</w:t>
      </w:r>
      <w:r>
        <w:rPr>
          <w:rFonts w:ascii="宋体" w:eastAsia="宋体" w:hAnsi="宋体" w:hint="eastAsia"/>
          <w:sz w:val="24"/>
          <w:szCs w:val="24"/>
        </w:rPr>
        <w:t>5</w:t>
      </w:r>
      <w:r>
        <w:rPr>
          <w:rFonts w:ascii="宋体" w:eastAsia="宋体" w:hAnsi="宋体"/>
          <w:sz w:val="24"/>
          <w:szCs w:val="24"/>
        </w:rPr>
        <w:t>年度国家主要卫生健康政策文件一览表》和《202</w:t>
      </w:r>
      <w:r>
        <w:rPr>
          <w:rFonts w:ascii="宋体" w:eastAsia="宋体" w:hAnsi="宋体" w:hint="eastAsia"/>
          <w:sz w:val="24"/>
          <w:szCs w:val="24"/>
        </w:rPr>
        <w:t>5</w:t>
      </w:r>
      <w:r>
        <w:rPr>
          <w:rFonts w:ascii="宋体" w:eastAsia="宋体" w:hAnsi="宋体"/>
          <w:sz w:val="24"/>
          <w:szCs w:val="24"/>
        </w:rPr>
        <w:t>年度上海市主要卫生健康政策文件一览表》3个附录，</w:t>
      </w:r>
      <w:r>
        <w:rPr>
          <w:rFonts w:ascii="宋体" w:eastAsia="宋体" w:hAnsi="宋体" w:hint="eastAsia"/>
          <w:sz w:val="24"/>
          <w:szCs w:val="24"/>
        </w:rPr>
        <w:t>集中</w:t>
      </w:r>
      <w:r>
        <w:rPr>
          <w:rFonts w:ascii="宋体" w:eastAsia="宋体" w:hAnsi="宋体"/>
          <w:sz w:val="24"/>
          <w:szCs w:val="24"/>
        </w:rPr>
        <w:t>展现</w:t>
      </w:r>
      <w:r>
        <w:rPr>
          <w:rFonts w:ascii="宋体" w:eastAsia="宋体" w:hAnsi="宋体" w:hint="eastAsia"/>
          <w:sz w:val="24"/>
          <w:szCs w:val="24"/>
        </w:rPr>
        <w:t>了2025年度上海卫生健康政策研究成果和重要数据文献。</w:t>
      </w:r>
    </w:p>
    <w:p w14:paraId="00307E37" w14:textId="41EF9E7A" w:rsidR="00C65159"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2012年以来，绿皮书已连续多年在全市卫生健康工作会议上作为常规会议材料发放，此外，本书常规推广范围还包括：世界卫生组织等国际组织的驻华办事处，中华医学会，国家卫生健康、医疗保障、财政等相关部委及下设机构；各省卫生健康及相关管理部门；上海市政府、卫生健康管理部门及相关委办单位、各三级医院；上海及全国相关高校、研究机构及卫生健康政策研究领域知名专家学者。同时，上海市卫生和健康发展研究中心还利用中心的双月讲座、各类培训及研讨会对绿皮书进行宣传推广。</w:t>
      </w:r>
    </w:p>
    <w:p w14:paraId="5F66A745" w14:textId="2E63C36F" w:rsidR="00C65159"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该</w:t>
      </w:r>
      <w:r>
        <w:rPr>
          <w:rFonts w:ascii="宋体" w:eastAsia="宋体" w:hAnsi="宋体"/>
          <w:sz w:val="24"/>
          <w:szCs w:val="24"/>
        </w:rPr>
        <w:t>书可为上海</w:t>
      </w:r>
      <w:r>
        <w:rPr>
          <w:rFonts w:ascii="宋体" w:eastAsia="宋体" w:hAnsi="宋体" w:hint="eastAsia"/>
          <w:sz w:val="24"/>
          <w:szCs w:val="24"/>
        </w:rPr>
        <w:t>乃至全国</w:t>
      </w:r>
      <w:r>
        <w:rPr>
          <w:rFonts w:ascii="宋体" w:eastAsia="宋体" w:hAnsi="宋体"/>
          <w:sz w:val="24"/>
          <w:szCs w:val="24"/>
        </w:rPr>
        <w:t>从事卫生健康管理与改革相关工作的</w:t>
      </w:r>
      <w:proofErr w:type="gramStart"/>
      <w:r>
        <w:rPr>
          <w:rFonts w:ascii="宋体" w:eastAsia="宋体" w:hAnsi="宋体"/>
          <w:sz w:val="24"/>
          <w:szCs w:val="24"/>
        </w:rPr>
        <w:t>各级</w:t>
      </w:r>
      <w:r>
        <w:rPr>
          <w:rFonts w:ascii="宋体" w:eastAsia="宋体" w:hAnsi="宋体" w:hint="eastAsia"/>
          <w:sz w:val="24"/>
          <w:szCs w:val="24"/>
        </w:rPr>
        <w:t>行业</w:t>
      </w:r>
      <w:proofErr w:type="gramEnd"/>
      <w:r>
        <w:rPr>
          <w:rFonts w:ascii="宋体" w:eastAsia="宋体" w:hAnsi="宋体" w:hint="eastAsia"/>
          <w:sz w:val="24"/>
          <w:szCs w:val="24"/>
        </w:rPr>
        <w:t>主管人员</w:t>
      </w:r>
      <w:r>
        <w:rPr>
          <w:rFonts w:ascii="宋体" w:eastAsia="宋体" w:hAnsi="宋体"/>
          <w:sz w:val="24"/>
          <w:szCs w:val="24"/>
        </w:rPr>
        <w:t>提供有价值的参考信息，帮助基层卫生健康管理人员理解、把握卫生健康政策及其发展趋势，也可作为卫生健康政策研究人员的参阅读物。</w:t>
      </w:r>
      <w:r>
        <w:rPr>
          <w:rFonts w:ascii="宋体" w:eastAsia="宋体" w:hAnsi="宋体" w:hint="eastAsia"/>
          <w:sz w:val="24"/>
          <w:szCs w:val="24"/>
        </w:rPr>
        <w:t xml:space="preserve"> </w:t>
      </w:r>
    </w:p>
    <w:p w14:paraId="002BF11E" w14:textId="77777777" w:rsidR="00C65159" w:rsidRDefault="00000000">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（绿皮书工作组）</w:t>
      </w:r>
    </w:p>
    <w:p w14:paraId="30CDAEBE" w14:textId="77777777" w:rsidR="00C65159" w:rsidRDefault="00000000">
      <w:pPr>
        <w:spacing w:line="360" w:lineRule="auto"/>
        <w:ind w:firstLineChars="200" w:firstLine="420"/>
        <w:jc w:val="center"/>
        <w:rPr>
          <w:rFonts w:ascii="宋体" w:eastAsia="宋体" w:hAnsi="宋体"/>
          <w:sz w:val="28"/>
          <w:szCs w:val="28"/>
        </w:rPr>
      </w:pPr>
      <w:r>
        <w:rPr>
          <w:noProof/>
        </w:rPr>
        <w:lastRenderedPageBreak/>
        <w:drawing>
          <wp:inline distT="0" distB="0" distL="0" distR="0" wp14:anchorId="69CF52A1" wp14:editId="51A1D32A">
            <wp:extent cx="3749675" cy="5003800"/>
            <wp:effectExtent l="0" t="0" r="317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749855" cy="5004000"/>
                    </a:xfrm>
                    <a:prstGeom prst="rect">
                      <a:avLst/>
                    </a:prstGeom>
                    <a:noFill/>
                    <a:ln>
                      <a:noFill/>
                    </a:ln>
                  </pic:spPr>
                </pic:pic>
              </a:graphicData>
            </a:graphic>
          </wp:inline>
        </w:drawing>
      </w:r>
    </w:p>
    <w:p w14:paraId="5DB57442" w14:textId="77777777" w:rsidR="00C65159" w:rsidRDefault="00000000">
      <w:pPr>
        <w:spacing w:line="360" w:lineRule="auto"/>
        <w:rPr>
          <w:rFonts w:ascii="宋体" w:eastAsia="宋体" w:hAnsi="宋体"/>
          <w:sz w:val="28"/>
          <w:szCs w:val="28"/>
        </w:rPr>
      </w:pPr>
      <w:r>
        <w:rPr>
          <w:noProof/>
        </w:rPr>
        <w:drawing>
          <wp:inline distT="0" distB="0" distL="0" distR="0" wp14:anchorId="482EC295" wp14:editId="44EB9D2E">
            <wp:extent cx="2565400" cy="3446145"/>
            <wp:effectExtent l="0" t="0" r="635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66261" cy="3447854"/>
                    </a:xfrm>
                    <a:prstGeom prst="rect">
                      <a:avLst/>
                    </a:prstGeom>
                    <a:noFill/>
                    <a:ln>
                      <a:noFill/>
                    </a:ln>
                  </pic:spPr>
                </pic:pic>
              </a:graphicData>
            </a:graphic>
          </wp:inline>
        </w:drawing>
      </w:r>
      <w:r>
        <w:rPr>
          <w:noProof/>
        </w:rPr>
        <w:drawing>
          <wp:inline distT="0" distB="0" distL="0" distR="0" wp14:anchorId="1DF9B964" wp14:editId="1049F657">
            <wp:extent cx="2565400" cy="3419475"/>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65849" cy="3420000"/>
                    </a:xfrm>
                    <a:prstGeom prst="rect">
                      <a:avLst/>
                    </a:prstGeom>
                    <a:noFill/>
                    <a:ln>
                      <a:noFill/>
                    </a:ln>
                  </pic:spPr>
                </pic:pic>
              </a:graphicData>
            </a:graphic>
          </wp:inline>
        </w:drawing>
      </w:r>
    </w:p>
    <w:p w14:paraId="1539E9E9" w14:textId="77777777" w:rsidR="00C65159" w:rsidRDefault="00000000">
      <w:pPr>
        <w:spacing w:line="360" w:lineRule="auto"/>
        <w:rPr>
          <w:rFonts w:ascii="宋体" w:eastAsia="宋体" w:hAnsi="宋体"/>
          <w:sz w:val="28"/>
          <w:szCs w:val="28"/>
        </w:rPr>
      </w:pPr>
      <w:r>
        <w:rPr>
          <w:noProof/>
        </w:rPr>
        <w:lastRenderedPageBreak/>
        <w:drawing>
          <wp:inline distT="0" distB="0" distL="0" distR="0" wp14:anchorId="007C2640" wp14:editId="35D41308">
            <wp:extent cx="2673350" cy="356362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73885" cy="3564000"/>
                    </a:xfrm>
                    <a:prstGeom prst="rect">
                      <a:avLst/>
                    </a:prstGeom>
                    <a:noFill/>
                    <a:ln>
                      <a:noFill/>
                    </a:ln>
                  </pic:spPr>
                </pic:pic>
              </a:graphicData>
            </a:graphic>
          </wp:inline>
        </w:drawing>
      </w:r>
      <w:r>
        <w:rPr>
          <w:noProof/>
        </w:rPr>
        <w:drawing>
          <wp:inline distT="0" distB="0" distL="0" distR="0" wp14:anchorId="23EAF313" wp14:editId="077BE4B1">
            <wp:extent cx="2565400" cy="3616960"/>
            <wp:effectExtent l="0" t="0" r="635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67204" cy="3619838"/>
                    </a:xfrm>
                    <a:prstGeom prst="rect">
                      <a:avLst/>
                    </a:prstGeom>
                    <a:noFill/>
                    <a:ln>
                      <a:noFill/>
                    </a:ln>
                  </pic:spPr>
                </pic:pic>
              </a:graphicData>
            </a:graphic>
          </wp:inline>
        </w:drawing>
      </w:r>
      <w:r>
        <w:rPr>
          <w:noProof/>
        </w:rPr>
        <w:drawing>
          <wp:inline distT="0" distB="0" distL="0" distR="0" wp14:anchorId="37010409" wp14:editId="3D04ADC7">
            <wp:extent cx="2565400" cy="3460115"/>
            <wp:effectExtent l="0" t="0" r="6350"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66500" cy="3461830"/>
                    </a:xfrm>
                    <a:prstGeom prst="rect">
                      <a:avLst/>
                    </a:prstGeom>
                    <a:noFill/>
                    <a:ln>
                      <a:noFill/>
                    </a:ln>
                  </pic:spPr>
                </pic:pic>
              </a:graphicData>
            </a:graphic>
          </wp:inline>
        </w:drawing>
      </w:r>
      <w:r>
        <w:rPr>
          <w:noProof/>
        </w:rPr>
        <w:drawing>
          <wp:inline distT="0" distB="0" distL="0" distR="0" wp14:anchorId="778B8355" wp14:editId="3E3A3E21">
            <wp:extent cx="2565400" cy="3419475"/>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65849" cy="3420000"/>
                    </a:xfrm>
                    <a:prstGeom prst="rect">
                      <a:avLst/>
                    </a:prstGeom>
                    <a:noFill/>
                    <a:ln>
                      <a:noFill/>
                    </a:ln>
                  </pic:spPr>
                </pic:pic>
              </a:graphicData>
            </a:graphic>
          </wp:inline>
        </w:drawing>
      </w:r>
      <w:r>
        <w:rPr>
          <w:noProof/>
        </w:rPr>
        <w:lastRenderedPageBreak/>
        <w:drawing>
          <wp:inline distT="0" distB="0" distL="0" distR="0" wp14:anchorId="5B6E4157" wp14:editId="2FCDA024">
            <wp:extent cx="2700655" cy="3599815"/>
            <wp:effectExtent l="0" t="0" r="444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00894" cy="3600000"/>
                    </a:xfrm>
                    <a:prstGeom prst="rect">
                      <a:avLst/>
                    </a:prstGeom>
                    <a:noFill/>
                    <a:ln>
                      <a:noFill/>
                    </a:ln>
                  </pic:spPr>
                </pic:pic>
              </a:graphicData>
            </a:graphic>
          </wp:inline>
        </w:drawing>
      </w:r>
    </w:p>
    <w:sectPr w:rsidR="00C65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6F"/>
    <w:rsid w:val="000064ED"/>
    <w:rsid w:val="000759E9"/>
    <w:rsid w:val="00103373"/>
    <w:rsid w:val="00197B09"/>
    <w:rsid w:val="00242DE0"/>
    <w:rsid w:val="00297820"/>
    <w:rsid w:val="002A0727"/>
    <w:rsid w:val="00355170"/>
    <w:rsid w:val="003707A4"/>
    <w:rsid w:val="00371F8B"/>
    <w:rsid w:val="003B138D"/>
    <w:rsid w:val="004676FD"/>
    <w:rsid w:val="004E6BAC"/>
    <w:rsid w:val="004F0E97"/>
    <w:rsid w:val="005D6453"/>
    <w:rsid w:val="006B0CC6"/>
    <w:rsid w:val="006F7F62"/>
    <w:rsid w:val="00793EEC"/>
    <w:rsid w:val="007C4FDB"/>
    <w:rsid w:val="00836E31"/>
    <w:rsid w:val="0085019D"/>
    <w:rsid w:val="00956B53"/>
    <w:rsid w:val="009667EA"/>
    <w:rsid w:val="009F3B27"/>
    <w:rsid w:val="00A34C15"/>
    <w:rsid w:val="00A5054B"/>
    <w:rsid w:val="00B11784"/>
    <w:rsid w:val="00B15FE6"/>
    <w:rsid w:val="00B24BA3"/>
    <w:rsid w:val="00B87AF5"/>
    <w:rsid w:val="00C1682C"/>
    <w:rsid w:val="00C65159"/>
    <w:rsid w:val="00C74D6F"/>
    <w:rsid w:val="00CE6D97"/>
    <w:rsid w:val="00D952F6"/>
    <w:rsid w:val="00E25A12"/>
    <w:rsid w:val="00E942D3"/>
    <w:rsid w:val="00F67A33"/>
    <w:rsid w:val="3F5D0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E341"/>
  <w15:docId w15:val="{B8C5B8B2-EB73-4EB2-8CE4-212A79B0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f0">
    <w:name w:val="Revision"/>
    <w:hidden/>
    <w:uiPriority w:val="99"/>
    <w:unhideWhenUsed/>
    <w:rsid w:val="003551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2026-04-15T14:09:00Z</cp:lastPrinted>
  <dcterms:created xsi:type="dcterms:W3CDTF">2025-03-31T14:48:00Z</dcterms:created>
  <dcterms:modified xsi:type="dcterms:W3CDTF">2026-04-15T06:29:00Z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1B54442428C63C16C62DDF6973898BA5_42</vt:lpwstr>
  </property>
</Properties>
</file>